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698"/>
        <w:jc w:val="right"/>
        <w:spacing w:after="0" w:line="240" w:lineRule="auto"/>
        <w:widowControl w:val="off"/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Приложение N 7</w:t>
      </w:r>
      <w:r>
        <w:rPr>
          <w:rFonts w:ascii="Arial" w:hAnsi="Arial" w:cs="Arial" w:eastAsiaTheme="minorEastAsia"/>
          <w:sz w:val="24"/>
          <w:szCs w:val="24"/>
          <w:lang w:eastAsia="ru-RU"/>
        </w:rPr>
      </w:r>
      <w:r/>
    </w:p>
    <w:p>
      <w:pPr>
        <w:ind w:firstLine="698"/>
        <w:jc w:val="right"/>
        <w:spacing w:after="0" w:line="240" w:lineRule="auto"/>
        <w:widowControl w:val="off"/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к приказу ФАС России</w:t>
      </w:r>
      <w:r>
        <w:rPr>
          <w:rFonts w:ascii="Arial" w:hAnsi="Arial" w:cs="Arial" w:eastAsiaTheme="minorEastAsia"/>
          <w:sz w:val="24"/>
          <w:szCs w:val="24"/>
          <w:lang w:eastAsia="ru-RU"/>
        </w:rPr>
      </w:r>
      <w:r/>
    </w:p>
    <w:p>
      <w:pPr>
        <w:ind w:firstLine="698"/>
        <w:jc w:val="right"/>
        <w:spacing w:after="0" w:line="240" w:lineRule="auto"/>
        <w:widowControl w:val="off"/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  <w:t xml:space="preserve">от 08.12.2022 N 960/22</w:t>
      </w: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r>
    </w:p>
    <w:p>
      <w:pPr>
        <w:ind w:firstLine="698"/>
        <w:jc w:val="right"/>
        <w:spacing w:after="0" w:line="240" w:lineRule="auto"/>
        <w:widowControl w:val="off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r>
      <w:r>
        <w:rPr>
          <w:rFonts w:ascii="Arial" w:hAnsi="Arial" w:cs="Arial" w:eastAsiaTheme="minorEastAsia"/>
          <w:sz w:val="24"/>
          <w:szCs w:val="24"/>
          <w:lang w:eastAsia="ru-RU"/>
        </w:rPr>
      </w:r>
    </w:p>
    <w:p>
      <w:pPr>
        <w:ind w:firstLine="698"/>
        <w:jc w:val="right"/>
        <w:spacing w:after="0" w:line="240" w:lineRule="auto"/>
        <w:widowControl w:val="off"/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pP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  <w:t xml:space="preserve">Форма 3</w:t>
      </w: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r>
      <w:r>
        <w:rPr>
          <w:rFonts w:ascii="Arial" w:hAnsi="Arial" w:cs="Arial" w:eastAsiaTheme="minorEastAsia"/>
          <w:sz w:val="24"/>
          <w:szCs w:val="24"/>
          <w:highlight w:val="none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</w:r>
      <w:r>
        <w:rPr>
          <w:rFonts w:ascii="Arial" w:hAnsi="Arial" w:cs="Arial" w:eastAsiaTheme="minorEastAsia"/>
          <w:sz w:val="24"/>
          <w:szCs w:val="24"/>
          <w:lang w:eastAsia="ru-RU"/>
        </w:rPr>
      </w:r>
      <w:r>
        <w:rPr>
          <w:rFonts w:ascii="Arial" w:hAnsi="Arial" w:cs="Arial" w:eastAsiaTheme="minorEastAsia"/>
          <w:sz w:val="24"/>
          <w:szCs w:val="24"/>
          <w:lang w:eastAsia="ru-RU"/>
        </w:rPr>
      </w:r>
    </w:p>
    <w:p>
      <w:pPr>
        <w:jc w:val="center"/>
        <w:spacing w:before="108" w:after="108" w:line="240" w:lineRule="auto"/>
        <w:widowControl w:val="off"/>
        <w:rPr>
          <w:rFonts w:ascii="Arial" w:hAnsi="Arial" w:cs="Arial" w:eastAsiaTheme="minorEastAsia"/>
          <w:b/>
          <w:bCs/>
          <w:color w:val="26282f"/>
          <w:sz w:val="24"/>
          <w:szCs w:val="24"/>
          <w:lang w:eastAsia="ru-RU"/>
        </w:rPr>
        <w:outlineLvl w:val="0"/>
      </w:pPr>
      <w:r>
        <w:rPr>
          <w:rFonts w:ascii="Arial" w:hAnsi="Arial" w:cs="Arial" w:eastAsiaTheme="minorEastAsia"/>
          <w:b/>
          <w:bCs/>
          <w:color w:val="26282f"/>
          <w:sz w:val="24"/>
          <w:szCs w:val="24"/>
          <w:lang w:eastAsia="ru-RU"/>
        </w:rPr>
        <w:t xml:space="preserve">Информация об условиях, на которых осуществляется оказание услуг по подключению (технологическому присоединению) к газораспределительным сетям</w:t>
      </w:r>
      <w:r>
        <w:rPr>
          <w:rFonts w:ascii="Arial" w:hAnsi="Arial" w:cs="Arial" w:eastAsiaTheme="minorEastAsia"/>
          <w:b/>
          <w:bCs/>
          <w:color w:val="26282f"/>
          <w:sz w:val="24"/>
          <w:szCs w:val="24"/>
          <w:lang w:eastAsia="ru-RU"/>
        </w:rPr>
        <w:t xml:space="preserve"> </w:t>
      </w:r>
      <w:r>
        <w:rPr>
          <w:rFonts w:ascii="Arial" w:hAnsi="Arial" w:cs="Arial" w:eastAsiaTheme="minorEastAsia"/>
          <w:b/>
          <w:bCs/>
          <w:color w:val="26282f"/>
          <w:sz w:val="24"/>
          <w:szCs w:val="24"/>
          <w:lang w:eastAsia="ru-RU"/>
        </w:rPr>
      </w:r>
      <w:r>
        <w:rPr>
          <w:rFonts w:ascii="Arial" w:hAnsi="Arial" w:cs="Arial" w:eastAsiaTheme="minorEastAsia"/>
          <w:b/>
          <w:bCs/>
          <w:color w:val="26282f"/>
          <w:sz w:val="24"/>
          <w:szCs w:val="24"/>
          <w:lang w:eastAsia="ru-RU"/>
        </w:rPr>
      </w:r>
    </w:p>
    <w:p>
      <w:pPr>
        <w:jc w:val="center"/>
        <w:spacing w:before="108" w:after="108" w:line="240" w:lineRule="auto"/>
        <w:widowControl w:val="off"/>
        <w:rPr>
          <w:rFonts w:ascii="Arial" w:hAnsi="Arial" w:cs="Arial" w:eastAsiaTheme="minorEastAsia"/>
          <w:b/>
          <w:bCs/>
          <w:color w:val="26282f"/>
          <w:sz w:val="24"/>
          <w:szCs w:val="24"/>
          <w:u w:val="single"/>
          <w:lang w:eastAsia="ru-RU"/>
        </w:rPr>
        <w:outlineLvl w:val="0"/>
      </w:pPr>
      <w:r>
        <w:rPr>
          <w:rFonts w:ascii="Arial" w:hAnsi="Arial" w:cs="Arial" w:eastAsiaTheme="minorEastAsia"/>
          <w:b/>
          <w:bCs/>
          <w:color w:val="26282f"/>
          <w:sz w:val="24"/>
          <w:szCs w:val="24"/>
          <w:u w:val="single"/>
          <w:lang w:eastAsia="ru-RU"/>
        </w:rPr>
        <w:t xml:space="preserve">АО «Газпром газораспределение Тамбов»</w:t>
      </w:r>
      <w:r>
        <w:rPr>
          <w:rFonts w:ascii="Arial" w:hAnsi="Arial" w:cs="Arial" w:eastAsiaTheme="minorEastAsia"/>
          <w:b/>
          <w:bCs/>
          <w:color w:val="26282f"/>
          <w:sz w:val="24"/>
          <w:szCs w:val="24"/>
          <w:u w:val="single"/>
          <w:lang w:eastAsia="ru-RU"/>
        </w:rPr>
      </w:r>
      <w:r>
        <w:rPr>
          <w:rFonts w:ascii="Arial" w:hAnsi="Arial" w:cs="Arial" w:eastAsiaTheme="minorEastAsia"/>
          <w:b/>
          <w:bCs/>
          <w:color w:val="26282f"/>
          <w:sz w:val="24"/>
          <w:szCs w:val="24"/>
          <w:u w:val="single"/>
          <w:lang w:eastAsia="ru-RU"/>
        </w:rPr>
      </w:r>
    </w:p>
    <w:p>
      <w:pPr>
        <w:jc w:val="center"/>
        <w:spacing w:before="108" w:after="108" w:line="240" w:lineRule="auto"/>
        <w:widowControl w:val="off"/>
        <w:rPr>
          <w:rFonts w:ascii="Times New Roman" w:hAnsi="Times New Roman" w:cs="Times New Roman" w:eastAsiaTheme="minorEastAsia"/>
          <w:b/>
          <w:bCs/>
          <w:color w:val="26282f"/>
          <w:sz w:val="16"/>
          <w:szCs w:val="16"/>
          <w:lang w:eastAsia="ru-RU"/>
        </w:rPr>
        <w:outlineLvl w:val="0"/>
      </w:pPr>
      <w:r>
        <w:rPr>
          <w:rFonts w:ascii="Times New Roman" w:hAnsi="Times New Roman" w:cs="Times New Roman" w:eastAsiaTheme="minorEastAsia"/>
          <w:b/>
          <w:bCs/>
          <w:color w:val="26282f"/>
          <w:sz w:val="16"/>
          <w:szCs w:val="16"/>
          <w:lang w:eastAsia="ru-RU"/>
        </w:rPr>
        <w:t xml:space="preserve"> </w:t>
      </w:r>
      <w:r>
        <w:rPr>
          <w:rFonts w:ascii="Times New Roman" w:hAnsi="Times New Roman" w:cs="Times New Roman" w:eastAsiaTheme="minorEastAsia"/>
          <w:b/>
          <w:bCs/>
          <w:color w:val="26282f"/>
          <w:sz w:val="16"/>
          <w:szCs w:val="16"/>
          <w:lang w:eastAsia="ru-RU"/>
        </w:rPr>
        <w:t xml:space="preserve">(наименование субъекта естественной монополии)</w:t>
      </w:r>
      <w:r>
        <w:rPr>
          <w:rFonts w:ascii="Times New Roman" w:hAnsi="Times New Roman" w:cs="Times New Roman" w:eastAsiaTheme="minorEastAsia"/>
          <w:b/>
          <w:bCs/>
          <w:color w:val="26282f"/>
          <w:sz w:val="16"/>
          <w:szCs w:val="16"/>
          <w:lang w:eastAsia="ru-RU"/>
        </w:rPr>
      </w:r>
      <w:r>
        <w:rPr>
          <w:rFonts w:ascii="Times New Roman" w:hAnsi="Times New Roman" w:cs="Times New Roman" w:eastAsiaTheme="minorEastAsia"/>
          <w:b/>
          <w:bCs/>
          <w:color w:val="26282f"/>
          <w:sz w:val="16"/>
          <w:szCs w:val="16"/>
          <w:lang w:eastAsia="ru-RU"/>
        </w:rPr>
      </w:r>
    </w:p>
    <w:p>
      <w:pPr>
        <w:ind w:firstLine="720"/>
        <w:jc w:val="both"/>
        <w:spacing w:after="0" w:line="240" w:lineRule="auto"/>
        <w:widowControl w:val="off"/>
        <w:rPr>
          <w:rFonts w:ascii="Arial" w:hAnsi="Arial" w:cs="Arial" w:eastAsiaTheme="minorEastAsia"/>
          <w:sz w:val="24"/>
          <w:szCs w:val="24"/>
          <w:lang w:eastAsia="ru-RU"/>
        </w:rPr>
      </w:pPr>
      <w:r>
        <w:rPr>
          <w:rFonts w:ascii="Arial" w:hAnsi="Arial" w:cs="Arial" w:eastAsiaTheme="minorEastAsia"/>
          <w:sz w:val="24"/>
          <w:szCs w:val="24"/>
          <w:lang w:eastAsia="ru-RU"/>
        </w:rPr>
      </w:r>
      <w:r>
        <w:rPr>
          <w:rFonts w:ascii="Arial" w:hAnsi="Arial" w:cs="Arial" w:eastAsiaTheme="minorEastAsia"/>
          <w:sz w:val="24"/>
          <w:szCs w:val="24"/>
          <w:lang w:eastAsia="ru-RU"/>
        </w:rPr>
      </w:r>
      <w:r>
        <w:rPr>
          <w:rFonts w:ascii="Arial" w:hAnsi="Arial" w:cs="Arial" w:eastAsiaTheme="minorEastAsia"/>
          <w:sz w:val="24"/>
          <w:szCs w:val="24"/>
          <w:lang w:eastAsia="ru-RU"/>
        </w:rPr>
      </w:r>
    </w:p>
    <w:p>
      <w:pPr>
        <w:pStyle w:val="854"/>
        <w:jc w:val="both"/>
      </w:pPr>
      <w:r/>
      <w:r/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810"/>
        <w:gridCol w:w="5955"/>
        <w:gridCol w:w="2286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N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Раскрываемая информация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Место размещения информации в информационно-коммуникационной сети "Интернет"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Перечень документов, направляемых для рассмотрения заявки о подключении (технологическом присоединении)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 сайт Общества www.tog.ru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«Единое окно» / «Подключение»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 сайт Общества www.tog. 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«Единое окно» / «Подключение» 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• «Образец заявки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Заявка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в рамках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догазификации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 сайт Общества www.tog. 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«Единое окно» / «Подключение» 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• «Образец заявки о заключении договора о подключении в рамках догазификации 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сетям газораспределения через сети основного абонента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Договор о подключении (технологическом присоединении) газоиспользующего оборудования и объектов капитального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строительства к сети газораспределения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 сайт Общества www.tog. 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«Единое окно» / «Подключение» 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образец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Договор о подключении (технологическом присоединении) существующей и (или) проектируемой сети газораспределения к сетям газораспределения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 сайт Общества www.tog. 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«Единое окно» / «Подключение» /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• </w:t>
            </w:r>
            <w:r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образец договора о подключении (технологическом присоединении) существующей и (или) проектируемой сети газораспределения к сетям газораспределения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Договор о подключении (технологическом присоединении) газоиспользующего оборудования к сети газораспределения в рамках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догазификации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 сайт Общества www.tog. 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«Единое окно» / «Подключение» /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•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 образец договора о подключении (технологическом присоединении) газоиспользующего оборудования к сети газораспределения в рамках догазификации;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9.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Информация о плате за подключение (технологическое присоединение) к газораспределительным сетям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 сайт Общества www.tog. 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Услуги / Стоимость услуг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810" w:type="dxa"/>
            <w:textDirection w:val="lrTb"/>
            <w:noWrap w:val="false"/>
          </w:tcPr>
          <w:p>
            <w:pPr>
              <w:pStyle w:val="8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10.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5955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Сведения о структурных подразделениях, осуществляющих прием заявок на подключение (технологическое присоединение)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286" w:type="dxa"/>
            <w:textDirection w:val="lrTb"/>
            <w:noWrap w:val="false"/>
          </w:tcPr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Официальный сайт Общества www.tog. ru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«Единое окно» / «Режим работы»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85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-993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7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9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61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3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5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7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9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1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3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4" w:hanging="360"/>
      </w:pPr>
      <w:rPr>
        <w:rFonts w:hint="default" w:ascii="Symbol" w:hAnsi="Symbol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48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4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72" w:hanging="360"/>
      </w:pPr>
      <w:rPr>
        <w:rFonts w:hint="default" w:ascii="Symbol" w:hAnsi="Symbol" w:cs="Times New Roman" w:eastAsiaTheme="minorEastAsia"/>
      </w:rPr>
    </w:lvl>
    <w:lvl w:ilvl="1">
      <w:start w:val="1"/>
      <w:numFmt w:val="bullet"/>
      <w:isLgl w:val="false"/>
      <w:suff w:val="tab"/>
      <w:lvlText w:val="o"/>
      <w:lvlJc w:val="left"/>
      <w:pPr>
        <w:ind w:left="179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2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6"/>
    <w:next w:val="846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basedOn w:val="847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6"/>
    <w:next w:val="846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basedOn w:val="847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basedOn w:val="847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basedOn w:val="847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basedOn w:val="847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basedOn w:val="847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basedOn w:val="847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basedOn w:val="847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basedOn w:val="847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No Spacing"/>
    <w:uiPriority w:val="1"/>
    <w:qFormat/>
    <w:pPr>
      <w:spacing w:before="0" w:after="0" w:line="240" w:lineRule="auto"/>
    </w:pPr>
  </w:style>
  <w:style w:type="paragraph" w:styleId="689">
    <w:name w:val="Title"/>
    <w:basedOn w:val="846"/>
    <w:next w:val="846"/>
    <w:link w:val="6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0">
    <w:name w:val="Title Char"/>
    <w:basedOn w:val="847"/>
    <w:link w:val="689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7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7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character" w:styleId="850">
    <w:name w:val="Hyperlink"/>
    <w:basedOn w:val="847"/>
    <w:uiPriority w:val="99"/>
    <w:unhideWhenUsed/>
    <w:rPr>
      <w:color w:val="0000ff" w:themeColor="hyperlink"/>
      <w:u w:val="single"/>
    </w:rPr>
  </w:style>
  <w:style w:type="paragraph" w:styleId="851">
    <w:name w:val="List Paragraph"/>
    <w:basedOn w:val="846"/>
    <w:uiPriority w:val="34"/>
    <w:qFormat/>
    <w:pPr>
      <w:contextualSpacing/>
      <w:ind w:left="720"/>
    </w:pPr>
  </w:style>
  <w:style w:type="paragraph" w:styleId="852">
    <w:name w:val="Balloon Text"/>
    <w:basedOn w:val="846"/>
    <w:link w:val="85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3" w:customStyle="1">
    <w:name w:val="Текст выноски Знак"/>
    <w:basedOn w:val="847"/>
    <w:link w:val="852"/>
    <w:uiPriority w:val="99"/>
    <w:semiHidden/>
    <w:rPr>
      <w:rFonts w:ascii="Segoe UI" w:hAnsi="Segoe UI" w:cs="Segoe UI"/>
      <w:sz w:val="18"/>
      <w:szCs w:val="18"/>
    </w:rPr>
  </w:style>
  <w:style w:type="paragraph" w:styleId="854" w:customStyle="1">
    <w:name w:val="ConsPlusNormal"/>
    <w:link w:val="673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Юрьевна</dc:creator>
  <cp:revision>5</cp:revision>
  <dcterms:created xsi:type="dcterms:W3CDTF">2022-01-31T08:07:00Z</dcterms:created>
  <dcterms:modified xsi:type="dcterms:W3CDTF">2025-01-23T11:02:40Z</dcterms:modified>
</cp:coreProperties>
</file>